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黄山市财政局 黄山人民防空办公室</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关于防空地下室易地建设费减免</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有关事项的通知</w:t>
      </w: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宋体" w:cs="宋体"/>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宋体" w:eastAsia="仿宋_GB2312" w:cs="宋体"/>
          <w:kern w:val="0"/>
          <w:sz w:val="32"/>
          <w:szCs w:val="32"/>
          <w:lang w:val="en" w:eastAsia="zh-CN"/>
        </w:rPr>
      </w:pPr>
      <w:r>
        <w:rPr>
          <w:rFonts w:hint="eastAsia" w:ascii="仿宋_GB2312" w:hAnsi="宋体" w:cs="宋体"/>
          <w:kern w:val="0"/>
          <w:sz w:val="32"/>
          <w:szCs w:val="32"/>
        </w:rPr>
        <w:t>各区、县财政局、人防办</w:t>
      </w:r>
      <w:r>
        <w:rPr>
          <w:rFonts w:hint="default" w:ascii="仿宋_GB2312" w:hAnsi="宋体" w:cs="宋体"/>
          <w:kern w:val="0"/>
          <w:sz w:val="32"/>
          <w:szCs w:val="32"/>
          <w:lang w:val="en"/>
        </w:rPr>
        <w:t>,</w:t>
      </w:r>
      <w:r>
        <w:rPr>
          <w:rFonts w:hint="eastAsia" w:ascii="仿宋_GB2312" w:hAnsi="宋体" w:cs="宋体"/>
          <w:kern w:val="0"/>
          <w:sz w:val="32"/>
          <w:szCs w:val="32"/>
          <w:lang w:val="en" w:eastAsia="zh-CN"/>
        </w:rPr>
        <w:t>黄山风景区管委会、黄山高新区管委会：</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为创建一流营商环境，减轻企业负担，优化社会投资简易低风险项目审批，根据国家和省委省政府有关规定，现将有关防空地下室易地建设费减免事项明确如下：</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一、城市规划区内新建民用建筑，建设单位或者个人应当按照国家、省有关规定和地下空间人防综合规划修建防空地下室。符合防空地下室易地建设条件的，经属地人防主管部门审核批准后，按规定缴纳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二、符合防空地下室易地建设条件,有下列情形的项目，按照国家规定享受易地建设费减免的优惠政策：</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(一)经有权部门认定的保障性住房，包括廉租住房、公共租赁住房、经济适用住房、易地扶贫搬迁、棚户区改造安置住房以及老旧住宅区整治建设项目，免收防空地下室易地建设费。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二)经有权部门认定的中、小学(含幼儿园)“校安工程”，免收防空地下室易地建设费。新建学校(幼儿园、小学、初中、高中和大学)教学楼(包含但不限于教室、实验室、公共教学用房、教师办公场所以教学活动为主的单体多层教学综合楼项目)，减半收取防空地下室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（三）经有权部门批准(备案)的养老和医疗机构建设项目，非营利性的全额免收防空地下室易地建设费，营利性的减半收取防空地下室易地建设费。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（四）为残疾人修建的生活服务设施,减半收取防空地下室易地建设费。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(五)临时民用建筑、不增加面积的危房翻建改造商品住宅项目以及因遭受水灾、火灾或其他不可抗拒的灾害造成损坏后按原面积修复的民用建筑，免收防空地下室易地建设费。</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(六)其他按照国家规定减免的情形。</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三、自2021年4月9日起，对工业生产企业在厂区范围内的各类建筑、新建专业物流仓储设施的，人防工程易地建设费实行零收费。</w:t>
      </w:r>
      <w:r>
        <w:rPr>
          <w:rFonts w:ascii="宋体" w:hAnsi="宋体" w:eastAsia="宋体" w:cs="宋体"/>
          <w:kern w:val="0"/>
          <w:sz w:val="32"/>
          <w:szCs w:val="32"/>
        </w:rPr>
        <w:t xml:space="preserve"> </w:t>
      </w:r>
      <w:r>
        <w:rPr>
          <w:rFonts w:hint="eastAsia" w:ascii="仿宋_GB2312" w:hAnsi="宋体" w:cs="宋体"/>
          <w:kern w:val="0"/>
          <w:sz w:val="32"/>
          <w:szCs w:val="32"/>
        </w:rPr>
        <w:t> </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附件：1.国家减免防空地下室易地建设费相关文件目录</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   2.符合减半征收规定的学校建设项目清单</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1600"/>
        <w:textAlignment w:val="auto"/>
        <w:rPr>
          <w:rFonts w:ascii="宋体" w:hAnsi="宋体" w:eastAsia="宋体" w:cs="宋体"/>
          <w:kern w:val="0"/>
          <w:sz w:val="32"/>
          <w:szCs w:val="32"/>
        </w:rPr>
      </w:pPr>
      <w:r>
        <w:rPr>
          <w:rFonts w:hint="eastAsia" w:ascii="仿宋_GB2312" w:hAnsi="宋体" w:cs="宋体"/>
          <w:kern w:val="0"/>
          <w:sz w:val="32"/>
          <w:szCs w:val="32"/>
        </w:rPr>
        <w:t>3.为残疾人修建的生活服务设施项目清单</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0"/>
        <w:textAlignment w:val="auto"/>
        <w:rPr>
          <w:rFonts w:ascii="宋体" w:hAnsi="宋体" w:eastAsia="宋体" w:cs="宋体"/>
          <w:kern w:val="0"/>
          <w:sz w:val="32"/>
          <w:szCs w:val="32"/>
        </w:rPr>
      </w:pPr>
      <w:r>
        <w:rPr>
          <w:rFonts w:hint="eastAsia" w:ascii="仿宋_GB2312" w:hAnsi="宋体" w:cs="宋体"/>
          <w:kern w:val="0"/>
          <w:sz w:val="32"/>
          <w:szCs w:val="32"/>
        </w:rPr>
        <w:t> </w:t>
      </w:r>
      <w:r>
        <w:rPr>
          <w:rFonts w:ascii="宋体" w:hAnsi="宋体" w:eastAsia="宋体" w:cs="宋体"/>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90" w:lineRule="exact"/>
        <w:jc w:val="right"/>
        <w:textAlignment w:val="auto"/>
        <w:rPr>
          <w:rFonts w:ascii="仿宋_GB2312" w:hAnsi="宋体" w:cs="宋体"/>
          <w:kern w:val="0"/>
          <w:sz w:val="32"/>
          <w:szCs w:val="32"/>
        </w:rPr>
      </w:pPr>
      <w:r>
        <w:rPr>
          <w:rFonts w:hint="eastAsia" w:ascii="仿宋_GB2312" w:hAnsi="宋体" w:cs="宋体"/>
          <w:kern w:val="0"/>
          <w:sz w:val="32"/>
          <w:szCs w:val="32"/>
        </w:rPr>
        <w:t>黄山市财政局             黄山市人民防空办公室</w:t>
      </w:r>
    </w:p>
    <w:p>
      <w:pPr>
        <w:keepNext w:val="0"/>
        <w:keepLines w:val="0"/>
        <w:pageBreakBefore w:val="0"/>
        <w:widowControl/>
        <w:kinsoku/>
        <w:wordWrap/>
        <w:overflowPunct/>
        <w:topLinePunct w:val="0"/>
        <w:autoSpaceDE/>
        <w:autoSpaceDN/>
        <w:bidi w:val="0"/>
        <w:adjustRightInd/>
        <w:snapToGrid/>
        <w:spacing w:line="590" w:lineRule="exact"/>
        <w:ind w:firstLine="960" w:firstLineChars="300"/>
        <w:textAlignment w:val="auto"/>
        <w:rPr>
          <w:rFonts w:hint="eastAsia" w:ascii="仿宋_GB2312" w:hAnsi="宋体" w:cs="宋体"/>
          <w:kern w:val="0"/>
          <w:sz w:val="32"/>
          <w:szCs w:val="32"/>
        </w:rPr>
      </w:pPr>
      <w:r>
        <w:rPr>
          <w:rFonts w:hint="eastAsia" w:ascii="仿宋_GB2312" w:hAnsi="宋体" w:cs="宋体"/>
          <w:kern w:val="0"/>
          <w:sz w:val="32"/>
          <w:szCs w:val="32"/>
        </w:rPr>
        <w:t xml:space="preserve">             </w:t>
      </w:r>
      <w:r>
        <w:rPr>
          <w:rFonts w:hint="eastAsia" w:ascii="仿宋_GB2312" w:hAnsi="宋体" w:cs="宋体"/>
          <w:kern w:val="0"/>
          <w:sz w:val="32"/>
          <w:szCs w:val="32"/>
          <w:lang w:val="en-US" w:eastAsia="zh-CN"/>
        </w:rPr>
        <w:t xml:space="preserve">                 </w:t>
      </w:r>
      <w:r>
        <w:rPr>
          <w:rFonts w:hint="eastAsia" w:ascii="仿宋_GB2312" w:hAnsi="宋体" w:cs="宋体"/>
          <w:kern w:val="0"/>
          <w:sz w:val="32"/>
          <w:szCs w:val="32"/>
        </w:rPr>
        <w:t xml:space="preserve"> 2022年5月</w:t>
      </w:r>
      <w:r>
        <w:rPr>
          <w:rFonts w:hint="eastAsia" w:ascii="仿宋_GB2312" w:hAnsi="宋体" w:cs="宋体"/>
          <w:kern w:val="0"/>
          <w:sz w:val="32"/>
          <w:szCs w:val="32"/>
          <w:lang w:val="en-US" w:eastAsia="zh-CN"/>
        </w:rPr>
        <w:t>12</w:t>
      </w:r>
      <w:r>
        <w:rPr>
          <w:rFonts w:hint="eastAsia" w:ascii="仿宋_GB2312" w:hAnsi="宋体" w:cs="宋体"/>
          <w:kern w:val="0"/>
          <w:sz w:val="32"/>
          <w:szCs w:val="32"/>
        </w:rPr>
        <w:t xml:space="preserve"> 日</w:t>
      </w:r>
    </w:p>
    <w:p>
      <w:pPr>
        <w:widowControl/>
        <w:rPr>
          <w:rFonts w:hint="eastAsia" w:ascii="仿宋_GB2312" w:hAnsi="宋体" w:cs="宋体"/>
          <w:kern w:val="0"/>
          <w:sz w:val="24"/>
        </w:rPr>
      </w:pPr>
    </w:p>
    <w:p>
      <w:pPr>
        <w:keepNext w:val="0"/>
        <w:keepLines w:val="0"/>
        <w:pageBreakBefore w:val="0"/>
        <w:widowControl/>
        <w:kinsoku/>
        <w:wordWrap/>
        <w:overflowPunct/>
        <w:topLinePunct w:val="0"/>
        <w:autoSpaceDE/>
        <w:autoSpaceDN/>
        <w:bidi w:val="0"/>
        <w:adjustRightInd/>
        <w:snapToGrid/>
        <w:spacing w:line="590" w:lineRule="exact"/>
        <w:textAlignment w:val="auto"/>
        <w:rPr>
          <w:rFonts w:hint="eastAsia" w:ascii="仿宋_GB2312" w:hAnsi="宋体" w:cs="宋体"/>
          <w:kern w:val="0"/>
          <w:sz w:val="30"/>
          <w:szCs w:val="30"/>
          <w:lang w:eastAsia="zh-CN"/>
        </w:rPr>
      </w:pPr>
      <w:r>
        <w:rPr>
          <w:rFonts w:hint="eastAsia" w:ascii="仿宋_GB2312" w:hAnsi="宋体" w:cs="宋体"/>
          <w:kern w:val="0"/>
          <w:sz w:val="30"/>
          <w:szCs w:val="30"/>
          <w:lang w:eastAsia="zh-CN"/>
        </w:rPr>
        <w:t>抄送：黄山市工程建设审批制度改革领导小组办公室。</w:t>
      </w:r>
    </w:p>
    <w:p>
      <w:pPr>
        <w:widowControl/>
        <w:ind w:right="1280"/>
        <w:rPr>
          <w:rFonts w:ascii="仿宋_GB2312" w:hAnsi="宋体" w:cs="宋体"/>
          <w:kern w:val="0"/>
          <w:sz w:val="24"/>
        </w:rPr>
      </w:pPr>
      <w:r>
        <w:rPr>
          <w:rFonts w:hint="eastAsia" w:ascii="仿宋_GB2312" w:hAnsi="宋体" w:cs="宋体"/>
          <w:kern w:val="0"/>
          <w:sz w:val="32"/>
          <w:szCs w:val="32"/>
        </w:rPr>
        <w:t>附件1</w:t>
      </w:r>
      <w:r>
        <w:rPr>
          <w:rFonts w:hint="eastAsia" w:ascii="仿宋_GB2312" w:hAnsi="宋体" w:cs="宋体"/>
          <w:kern w:val="0"/>
          <w:sz w:val="24"/>
        </w:rPr>
        <w:t xml:space="preserve">  </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国家减免防空地下室易地建设费</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仿宋_GB2312" w:hAnsi="宋体" w:cs="宋体"/>
          <w:kern w:val="0"/>
          <w:sz w:val="24"/>
        </w:rPr>
      </w:pPr>
      <w:r>
        <w:rPr>
          <w:rFonts w:hint="eastAsia" w:ascii="方正小标宋简体" w:hAnsi="方正小标宋简体" w:eastAsia="方正小标宋简体" w:cs="方正小标宋简体"/>
          <w:kern w:val="0"/>
          <w:sz w:val="44"/>
          <w:szCs w:val="44"/>
        </w:rPr>
        <w:t>相关文件目录</w:t>
      </w:r>
      <w:r>
        <w:rPr>
          <w:rFonts w:hint="eastAsia" w:ascii="仿宋_GB2312" w:hAnsi="宋体" w:cs="宋体"/>
          <w:kern w:val="0"/>
          <w:sz w:val="24"/>
        </w:rPr>
        <w:t xml:space="preserve">  </w:t>
      </w:r>
    </w:p>
    <w:p>
      <w:pPr>
        <w:widowControl/>
        <w:shd w:val="clear" w:color="auto" w:fill="FFFFFF"/>
        <w:jc w:val="center"/>
        <w:rPr>
          <w:rFonts w:hint="eastAsia" w:ascii="仿宋_GB2312" w:hAnsi="宋体" w:cs="宋体"/>
          <w:kern w:val="0"/>
          <w:sz w:val="24"/>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97"/>
        <w:gridCol w:w="5141"/>
        <w:gridCol w:w="29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序号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文件名称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 xml:space="preserve">文  号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1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《国家计委、财政部、国家国防动员委员会、建设部印发关于规范防空地下室易地建设收费的规定的通知》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计价格</w:t>
            </w:r>
            <w:r>
              <w:rPr>
                <w:rFonts w:hint="eastAsia" w:ascii="仿宋_GB2312" w:hAnsi="仿宋" w:cs="宋体"/>
                <w:kern w:val="0"/>
                <w:sz w:val="24"/>
              </w:rPr>
              <w:t>〔2000〕474号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2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《国务院关于解决城市低收入家庭住房困难的若干意见》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国发</w:t>
            </w:r>
            <w:r>
              <w:rPr>
                <w:rFonts w:hint="eastAsia" w:ascii="仿宋_GB2312" w:hAnsi="仿宋" w:cs="宋体"/>
                <w:kern w:val="0"/>
                <w:sz w:val="24"/>
              </w:rPr>
              <w:t>〔2007〕24号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3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《国务院办公厅关于保障性安居工程建设和管理的指导意见》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国办发</w:t>
            </w:r>
            <w:r>
              <w:rPr>
                <w:rFonts w:hint="eastAsia" w:ascii="仿宋_GB2312" w:hAnsi="仿宋" w:cs="宋体"/>
                <w:kern w:val="0"/>
                <w:sz w:val="24"/>
              </w:rPr>
              <w:t>〔2011〕45号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4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《国务院办公厅、中央军委办公厅转发民政部、总政治部等部门关于军队离休退休干部安置建房工作请示的通知》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国办发</w:t>
            </w:r>
            <w:r>
              <w:rPr>
                <w:rFonts w:hint="eastAsia" w:ascii="仿宋_GB2312" w:hAnsi="仿宋" w:cs="宋体"/>
                <w:kern w:val="0"/>
                <w:sz w:val="24"/>
              </w:rPr>
              <w:t>〔1991〕9号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5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《国务院办公厅转发教育部等部门关于建立中小学校舍安全保障长效机制意见的通知》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国办发</w:t>
            </w:r>
            <w:r>
              <w:rPr>
                <w:rFonts w:hint="eastAsia" w:ascii="仿宋_GB2312" w:hAnsi="仿宋" w:cs="宋体"/>
                <w:kern w:val="0"/>
                <w:sz w:val="24"/>
              </w:rPr>
              <w:t>〔2013〕103号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6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《关于防空地下室易地建设收费有关问题的复函》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发改办价格</w:t>
            </w:r>
            <w:r>
              <w:rPr>
                <w:rFonts w:hint="eastAsia" w:ascii="仿宋_GB2312" w:hAnsi="仿宋" w:cs="宋体"/>
                <w:kern w:val="0"/>
                <w:sz w:val="24"/>
              </w:rPr>
              <w:t>〔2017〕799号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7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《国务院关于加快发展养老服务业的若干意见》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国发</w:t>
            </w:r>
            <w:r>
              <w:rPr>
                <w:rFonts w:hint="eastAsia" w:ascii="仿宋_GB2312" w:hAnsi="仿宋" w:cs="宋体"/>
                <w:kern w:val="0"/>
                <w:sz w:val="24"/>
              </w:rPr>
              <w:t>〔2013〕35号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8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《财政部 国家发展改革委关于减免养老和医疗机构行政事业性收费有关问题的通知》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财税</w:t>
            </w:r>
            <w:r>
              <w:rPr>
                <w:rFonts w:hint="eastAsia" w:ascii="仿宋_GB2312" w:hAnsi="仿宋" w:cs="宋体"/>
                <w:kern w:val="0"/>
                <w:sz w:val="24"/>
              </w:rPr>
              <w:t>〔2014〕77号</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6" w:hRule="atLeast"/>
          <w:tblCellSpacing w:w="0" w:type="dxa"/>
        </w:trPr>
        <w:tc>
          <w:tcPr>
            <w:tcW w:w="82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9 </w:t>
            </w:r>
          </w:p>
        </w:tc>
        <w:tc>
          <w:tcPr>
            <w:tcW w:w="541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《财政部 国家发展改革委关于免征易地扶贫搬迁有关政府性基金和行政事业性收费政策的通知》 </w:t>
            </w:r>
          </w:p>
        </w:tc>
        <w:tc>
          <w:tcPr>
            <w:tcW w:w="303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财税</w:t>
            </w:r>
            <w:r>
              <w:rPr>
                <w:rFonts w:hint="eastAsia" w:ascii="仿宋_GB2312" w:hAnsi="仿宋" w:cs="宋体"/>
                <w:kern w:val="0"/>
                <w:sz w:val="24"/>
              </w:rPr>
              <w:t>〔2019〕53号</w:t>
            </w:r>
            <w:r>
              <w:rPr>
                <w:rFonts w:hint="eastAsia" w:ascii="仿宋_GB2312" w:hAnsi="宋体" w:cs="宋体"/>
                <w:kern w:val="0"/>
                <w:sz w:val="24"/>
              </w:rPr>
              <w:t xml:space="preserve"> </w:t>
            </w:r>
          </w:p>
        </w:tc>
      </w:tr>
    </w:tbl>
    <w:p>
      <w:pPr>
        <w:widowControl/>
        <w:shd w:val="clear" w:color="auto" w:fill="FFFFFF"/>
        <w:jc w:val="left"/>
        <w:rPr>
          <w:rFonts w:ascii="仿宋_GB2312" w:hAnsi="宋体" w:cs="宋体"/>
          <w:kern w:val="0"/>
          <w:sz w:val="24"/>
        </w:rPr>
      </w:pPr>
    </w:p>
    <w:p>
      <w:pPr>
        <w:widowControl/>
        <w:shd w:val="clear" w:color="auto" w:fill="FFFFFF"/>
        <w:jc w:val="left"/>
        <w:rPr>
          <w:rFonts w:ascii="仿宋_GB2312" w:hAnsi="宋体" w:cs="宋体"/>
          <w:kern w:val="0"/>
          <w:sz w:val="24"/>
        </w:rPr>
      </w:pPr>
    </w:p>
    <w:p>
      <w:pPr>
        <w:widowControl/>
        <w:shd w:val="clear" w:color="auto" w:fill="FFFFFF"/>
        <w:jc w:val="left"/>
        <w:rPr>
          <w:rFonts w:ascii="仿宋_GB2312" w:hAnsi="宋体" w:cs="宋体"/>
          <w:kern w:val="0"/>
          <w:sz w:val="24"/>
        </w:rPr>
      </w:pPr>
    </w:p>
    <w:p>
      <w:pPr>
        <w:widowControl/>
        <w:shd w:val="clear" w:color="auto" w:fill="FFFFFF"/>
        <w:jc w:val="left"/>
        <w:rPr>
          <w:rFonts w:ascii="仿宋_GB2312" w:hAnsi="宋体" w:cs="宋体"/>
          <w:kern w:val="0"/>
          <w:sz w:val="24"/>
        </w:rPr>
      </w:pPr>
    </w:p>
    <w:p>
      <w:pPr>
        <w:widowControl/>
        <w:shd w:val="clear" w:color="auto" w:fill="FFFFFF"/>
        <w:jc w:val="left"/>
        <w:rPr>
          <w:rFonts w:ascii="仿宋_GB2312" w:hAnsi="宋体" w:cs="宋体"/>
          <w:kern w:val="0"/>
          <w:sz w:val="24"/>
        </w:rPr>
      </w:pPr>
    </w:p>
    <w:p>
      <w:pPr>
        <w:widowControl/>
        <w:shd w:val="clear" w:color="auto" w:fill="FFFFFF"/>
        <w:jc w:val="left"/>
        <w:rPr>
          <w:rFonts w:ascii="仿宋_GB2312" w:hAnsi="宋体" w:cs="宋体"/>
          <w:kern w:val="0"/>
          <w:sz w:val="24"/>
        </w:rPr>
      </w:pPr>
    </w:p>
    <w:p>
      <w:pPr>
        <w:widowControl/>
        <w:ind w:right="1280"/>
        <w:rPr>
          <w:rFonts w:hint="eastAsia" w:ascii="仿宋_GB2312" w:hAnsi="宋体" w:cs="宋体"/>
          <w:kern w:val="0"/>
          <w:sz w:val="32"/>
          <w:szCs w:val="32"/>
        </w:rPr>
      </w:pPr>
      <w:r>
        <w:rPr>
          <w:rFonts w:hint="eastAsia" w:ascii="仿宋_GB2312" w:hAnsi="宋体" w:cs="宋体"/>
          <w:kern w:val="0"/>
          <w:sz w:val="32"/>
          <w:szCs w:val="32"/>
        </w:rPr>
        <w:t xml:space="preserve">附件2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符合减半征收规定的学校建设项目清单  </w:t>
      </w:r>
    </w:p>
    <w:p>
      <w:pPr>
        <w:widowControl/>
        <w:shd w:val="clear" w:color="auto" w:fill="FFFFFF"/>
        <w:jc w:val="left"/>
        <w:rPr>
          <w:rFonts w:ascii="仿宋_GB2312" w:hAnsi="宋体" w:cs="宋体"/>
          <w:kern w:val="0"/>
          <w:sz w:val="24"/>
        </w:rPr>
      </w:pPr>
    </w:p>
    <w:tbl>
      <w:tblPr>
        <w:tblStyle w:val="6"/>
        <w:tblpPr w:leftFromText="180" w:rightFromText="180" w:vertAnchor="text" w:horzAnchor="page" w:tblpX="1574" w:tblpY="109"/>
        <w:tblOverlap w:val="never"/>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20"/>
        <w:gridCol w:w="66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9"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项目类别</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内    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31"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教 </w:t>
            </w:r>
            <w:r>
              <w:rPr>
                <w:rFonts w:hint="eastAsia" w:ascii="仿宋_GB2312" w:hAnsi="仿宋" w:cs="宋体"/>
                <w:kern w:val="0"/>
                <w:sz w:val="24"/>
              </w:rPr>
              <w:t xml:space="preserve"> </w:t>
            </w:r>
            <w:r>
              <w:rPr>
                <w:rFonts w:hint="eastAsia" w:ascii="仿宋_GB2312" w:hAnsi="宋体" w:cs="宋体"/>
                <w:kern w:val="0"/>
                <w:sz w:val="24"/>
              </w:rPr>
              <w:t>室</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普通教室、科学教室、计算机教室、语言教室、美术教室、书法教室、音乐教室、舞蹈教室、史地教室、劳动教室、技术教室、合班教室、阶梯教室等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9"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实验室</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化学物理实验室、解剖实验室、显微镜观察实验室、综合实验室、演示实验室等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9"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公共教学用房</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图书室、阅览室、学生活动室、体质测试室、心理咨询室、展览室、报告厅（多功能厅）、实训楼等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2"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教师办公场所</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任课教师办公室、行政办公用房等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7"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体育建筑设施</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风雨操场以及游泳馆、羽毛球馆等体育场馆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7"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教学辅助用房</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仪器室、资料室、教具室、乐器室等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44" w:hRule="atLeast"/>
          <w:tblCellSpacing w:w="0" w:type="dxa"/>
        </w:trPr>
        <w:tc>
          <w:tcPr>
            <w:tcW w:w="222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备注</w:t>
            </w:r>
          </w:p>
        </w:tc>
        <w:tc>
          <w:tcPr>
            <w:tcW w:w="6634"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仿宋" w:cs="宋体"/>
                <w:kern w:val="0"/>
                <w:sz w:val="24"/>
              </w:rPr>
              <w:t>本项目清单仅限于以教学活动为主的单体多层项目；未尽建设内容详见《中小学校设计规范》GB50099-2011。</w:t>
            </w:r>
          </w:p>
        </w:tc>
      </w:tr>
    </w:tbl>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jc w:val="left"/>
        <w:rPr>
          <w:rFonts w:hint="eastAsia" w:ascii="仿宋_GB2312" w:hAnsi="宋体" w:cs="宋体"/>
          <w:kern w:val="0"/>
          <w:sz w:val="24"/>
        </w:rPr>
      </w:pPr>
    </w:p>
    <w:p>
      <w:pPr>
        <w:widowControl/>
        <w:shd w:val="clear" w:color="auto" w:fill="FFFFFF"/>
        <w:ind w:firstLine="480" w:firstLineChars="200"/>
        <w:jc w:val="left"/>
        <w:rPr>
          <w:rFonts w:hint="eastAsia" w:ascii="仿宋_GB2312" w:hAnsi="宋体" w:cs="宋体"/>
          <w:kern w:val="0"/>
          <w:sz w:val="24"/>
        </w:rPr>
      </w:pPr>
    </w:p>
    <w:p>
      <w:pPr>
        <w:widowControl/>
        <w:shd w:val="clear" w:color="auto" w:fill="FFFFFF"/>
        <w:ind w:firstLine="640" w:firstLineChars="200"/>
        <w:jc w:val="left"/>
        <w:rPr>
          <w:rFonts w:ascii="仿宋_GB2312" w:hAnsi="宋体" w:cs="宋体"/>
          <w:kern w:val="0"/>
          <w:sz w:val="24"/>
        </w:rPr>
      </w:pPr>
      <w:r>
        <w:rPr>
          <w:rFonts w:hint="eastAsia" w:ascii="仿宋_GB2312" w:hAnsi="宋体" w:cs="宋体"/>
          <w:kern w:val="0"/>
          <w:sz w:val="32"/>
          <w:szCs w:val="32"/>
        </w:rPr>
        <w:t>附件3 </w:t>
      </w:r>
      <w:r>
        <w:rPr>
          <w:rFonts w:hint="eastAsia" w:ascii="仿宋_GB2312" w:hAnsi="宋体" w:cs="宋体"/>
          <w:kern w:val="0"/>
          <w:sz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 xml:space="preserve">为残疾人修建的生活服务设施项目清单 </w:t>
      </w:r>
    </w:p>
    <w:p>
      <w:pPr>
        <w:keepNext w:val="0"/>
        <w:keepLines w:val="0"/>
        <w:pageBreakBefore w:val="0"/>
        <w:widowControl/>
        <w:shd w:val="clear" w:color="auto" w:fill="FFFFFF"/>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kern w:val="0"/>
          <w:sz w:val="44"/>
          <w:szCs w:val="44"/>
        </w:rPr>
      </w:pPr>
    </w:p>
    <w:tbl>
      <w:tblPr>
        <w:tblStyle w:val="6"/>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07"/>
        <w:gridCol w:w="6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32"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项目类别</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内    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71"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残疾人康复机构 </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仿宋" w:cs="宋体"/>
                <w:kern w:val="0"/>
                <w:sz w:val="24"/>
              </w:rPr>
              <w:t>综合康复设施、儿童听力语言康复设施、儿童智力康复设施、孤独症儿童康复设施、脑瘫儿童康复设施、辅助器具中心设施等，具体详见《残疾人康复机构建设标准（建标165-2013）》</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6"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残疾人托养服务机构 </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仿宋" w:cs="宋体"/>
                <w:kern w:val="0"/>
                <w:sz w:val="24"/>
              </w:rPr>
              <w:t>生活技能训练用房、康复用房、培训与教育用房、就业训练与生产劳动用房、托养寄宿用房、生活用房、辅助用房等，具体详见《残疾人托养服务机构建设标准（建标166-2013）》</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33"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残疾人综合服务机构 </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仿宋" w:cs="宋体"/>
                <w:kern w:val="0"/>
                <w:sz w:val="24"/>
              </w:rPr>
              <w:t>就业服务功能用房、职业培训功能用房、康复指导功能用房、文体活动功能用房、辅具供应功能用房、法律服务功能用房、信访工作功能用房、辅助用房等，具体详见《地方残疾人综合服务设施建设标准（建标135-2010）》</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26"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就业服务中心 </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仿宋" w:cs="宋体"/>
                <w:kern w:val="0"/>
                <w:sz w:val="24"/>
              </w:rPr>
              <w:t>窗口服务用房、职业评测用房、培训与教育用房、就业训练与生产劳动用房、生活用房、辅助用房等，具体详见《残疾人就业服务中心建设标准（建标178-2016）》</w:t>
            </w:r>
            <w:r>
              <w:rPr>
                <w:rFonts w:hint="eastAsia" w:ascii="仿宋_GB2312" w:hAnsi="宋体" w:cs="宋体"/>
                <w:kern w:val="0"/>
                <w:sz w:val="24"/>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9" w:hRule="atLeast"/>
          <w:tblCellSpacing w:w="0" w:type="dxa"/>
        </w:trPr>
        <w:tc>
          <w:tcPr>
            <w:tcW w:w="2250" w:type="dxa"/>
            <w:tcBorders>
              <w:top w:val="single" w:color="888888" w:sz="2" w:space="0"/>
              <w:left w:val="single" w:color="888888" w:sz="2" w:space="0"/>
              <w:bottom w:val="single" w:color="888888" w:sz="2" w:space="0"/>
              <w:right w:val="single" w:color="888888" w:sz="2" w:space="0"/>
            </w:tcBorders>
            <w:vAlign w:val="center"/>
          </w:tcPr>
          <w:p>
            <w:pPr>
              <w:widowControl/>
              <w:jc w:val="center"/>
              <w:rPr>
                <w:rFonts w:ascii="仿宋_GB2312" w:hAnsi="宋体" w:cs="宋体"/>
                <w:kern w:val="0"/>
                <w:sz w:val="24"/>
              </w:rPr>
            </w:pPr>
            <w:r>
              <w:rPr>
                <w:rFonts w:hint="eastAsia" w:ascii="仿宋_GB2312" w:hAnsi="宋体" w:cs="宋体"/>
                <w:kern w:val="0"/>
                <w:sz w:val="24"/>
              </w:rPr>
              <w:t xml:space="preserve">备注 </w:t>
            </w:r>
          </w:p>
        </w:tc>
        <w:tc>
          <w:tcPr>
            <w:tcW w:w="6765" w:type="dxa"/>
            <w:tcBorders>
              <w:top w:val="single" w:color="888888" w:sz="2" w:space="0"/>
              <w:left w:val="single" w:color="888888" w:sz="2" w:space="0"/>
              <w:bottom w:val="single" w:color="888888" w:sz="2" w:space="0"/>
              <w:right w:val="single" w:color="888888" w:sz="2" w:space="0"/>
            </w:tcBorders>
            <w:vAlign w:val="center"/>
          </w:tcPr>
          <w:p>
            <w:pPr>
              <w:widowControl/>
              <w:jc w:val="left"/>
              <w:rPr>
                <w:rFonts w:ascii="仿宋_GB2312" w:hAnsi="宋体" w:cs="宋体"/>
                <w:kern w:val="0"/>
                <w:sz w:val="24"/>
              </w:rPr>
            </w:pPr>
            <w:r>
              <w:rPr>
                <w:rFonts w:hint="eastAsia" w:ascii="仿宋_GB2312" w:hAnsi="宋体" w:cs="宋体"/>
                <w:kern w:val="0"/>
                <w:sz w:val="24"/>
              </w:rPr>
              <w:t>不在上述列表中的其他为残疾人修建的设施，必须经有权机构认定。</w:t>
            </w:r>
          </w:p>
        </w:tc>
      </w:tr>
    </w:tbl>
    <w:p>
      <w:pPr>
        <w:rPr>
          <w:rFonts w:ascii="仿宋_GB2312"/>
          <w:sz w:val="24"/>
        </w:rPr>
      </w:pPr>
    </w:p>
    <w:sectPr>
      <w:pgSz w:w="11906" w:h="16838"/>
      <w:pgMar w:top="1956"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3770"/>
    <w:rsid w:val="000028AA"/>
    <w:rsid w:val="0001276B"/>
    <w:rsid w:val="000804BB"/>
    <w:rsid w:val="004C59F6"/>
    <w:rsid w:val="004C66FB"/>
    <w:rsid w:val="0070204B"/>
    <w:rsid w:val="00775131"/>
    <w:rsid w:val="007E5F61"/>
    <w:rsid w:val="0085075E"/>
    <w:rsid w:val="00857F20"/>
    <w:rsid w:val="00B93770"/>
    <w:rsid w:val="00BF61E5"/>
    <w:rsid w:val="00CB2701"/>
    <w:rsid w:val="00E0598C"/>
    <w:rsid w:val="00E35A97"/>
    <w:rsid w:val="6F954227"/>
    <w:rsid w:val="8FD775C7"/>
    <w:rsid w:val="ADF76421"/>
    <w:rsid w:val="BFFC8F6D"/>
    <w:rsid w:val="CFB79582"/>
    <w:rsid w:val="DDD6E39C"/>
    <w:rsid w:val="DFFC44DC"/>
    <w:rsid w:val="E17FAB00"/>
    <w:rsid w:val="E7A4EDF1"/>
    <w:rsid w:val="EEDF89F6"/>
    <w:rsid w:val="F7FF87FD"/>
    <w:rsid w:val="FBEF8BC1"/>
    <w:rsid w:val="FDF5F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bCs/>
    </w:rPr>
  </w:style>
  <w:style w:type="character" w:customStyle="1" w:styleId="9">
    <w:name w:val="标题 1 Char"/>
    <w:basedOn w:val="7"/>
    <w:link w:val="2"/>
    <w:qFormat/>
    <w:uiPriority w:val="0"/>
    <w:rPr>
      <w:b/>
      <w:bCs/>
      <w:kern w:val="44"/>
      <w:sz w:val="44"/>
      <w:szCs w:val="44"/>
    </w:rPr>
  </w:style>
  <w:style w:type="character" w:customStyle="1" w:styleId="10">
    <w:name w:val="标题 2 Char"/>
    <w:basedOn w:val="7"/>
    <w:link w:val="3"/>
    <w:qFormat/>
    <w:uiPriority w:val="0"/>
    <w:rPr>
      <w:rFonts w:ascii="Arial" w:hAnsi="Arial" w:eastAsia="黑体"/>
      <w:b/>
      <w:bCs/>
      <w:kern w:val="2"/>
      <w:sz w:val="32"/>
      <w:szCs w:val="32"/>
    </w:rPr>
  </w:style>
  <w:style w:type="character" w:customStyle="1" w:styleId="11">
    <w:name w:val="标题 3 Char"/>
    <w:basedOn w:val="7"/>
    <w:link w:val="4"/>
    <w:qFormat/>
    <w:uiPriority w:val="0"/>
    <w:rPr>
      <w:b/>
      <w:bCs/>
      <w:kern w:val="2"/>
      <w:sz w:val="32"/>
      <w:szCs w:val="32"/>
    </w:rPr>
  </w:style>
  <w:style w:type="paragraph" w:styleId="12">
    <w:name w:val="No Spacing"/>
    <w:link w:val="13"/>
    <w:qFormat/>
    <w:uiPriority w:val="1"/>
    <w:rPr>
      <w:rFonts w:ascii="Calibri" w:hAnsi="Calibri" w:eastAsia="仿宋_GB2312" w:cs="Times New Roman"/>
      <w:kern w:val="2"/>
      <w:sz w:val="22"/>
      <w:szCs w:val="22"/>
      <w:lang w:val="en-US" w:eastAsia="zh-CN" w:bidi="ar-SA"/>
    </w:rPr>
  </w:style>
  <w:style w:type="character" w:customStyle="1" w:styleId="13">
    <w:name w:val="无间隔 Char"/>
    <w:basedOn w:val="7"/>
    <w:link w:val="12"/>
    <w:qFormat/>
    <w:uiPriority w:val="1"/>
    <w:rPr>
      <w:rFonts w:ascii="Calibri" w:hAnsi="Calibri"/>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344</Words>
  <Characters>1962</Characters>
  <Lines>16</Lines>
  <Paragraphs>4</Paragraphs>
  <TotalTime>5</TotalTime>
  <ScaleCrop>false</ScaleCrop>
  <LinksUpToDate>false</LinksUpToDate>
  <CharactersWithSpaces>2302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2022-05-10T23:01:00Z</dcterms:created>
  <dc:creator>张思润</dc:creator>
  <cp:lastModifiedBy>hss</cp:lastModifiedBy>
  <dcterms:modified xsi:type="dcterms:W3CDTF">2022-05-23T10:44:50Z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